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10E96" w:rsidR="00710E96" w:rsidP="00710E96" w:rsidRDefault="00710E96" w14:paraId="03906E03" w14:textId="77777777">
      <w:pPr>
        <w:rPr>
          <w:sz w:val="24"/>
          <w:szCs w:val="24"/>
        </w:rPr>
      </w:pPr>
      <w:r w:rsidRPr="00710E96">
        <w:rPr>
          <w:b/>
          <w:bCs/>
          <w:sz w:val="24"/>
          <w:szCs w:val="24"/>
        </w:rPr>
        <w:t>Ce este ADHD?</w:t>
      </w:r>
      <w:r w:rsidRPr="00710E96">
        <w:rPr>
          <w:sz w:val="24"/>
          <w:szCs w:val="24"/>
        </w:rPr>
        <w:t> </w:t>
      </w:r>
    </w:p>
    <w:p w:rsidRPr="00710E96" w:rsidR="00710E96" w:rsidP="00710E96" w:rsidRDefault="00710E96" w14:paraId="56D908B5" w14:textId="77777777">
      <w:r w:rsidRPr="00710E96">
        <w:t>ADHD (Tulburarea de Deficit de Atenție și Hiperactivitate) este o condiție de neurodezvoltare care influențează modul în care o persoană își gestionează atenția, impulsurile, organizarea și nivelul de activitate. </w:t>
      </w:r>
    </w:p>
    <w:p w:rsidRPr="00710E96" w:rsidR="00710E96" w:rsidP="00710E96" w:rsidRDefault="00710E96" w14:paraId="5F2FFA9E" w14:textId="77777777">
      <w:r w:rsidRPr="00710E96">
        <w:t>Nu este rezultatul lipsei de educație, al răsfățului sau al lipsei de voință. Creierul persoanelor cu ADHD procesează informațiile diferit, iar acest lucru poate crea atât provocări, cât și puncte forte valoroase. </w:t>
      </w:r>
    </w:p>
    <w:p w:rsidRPr="00710E96" w:rsidR="00710E96" w:rsidP="00710E96" w:rsidRDefault="00710E96" w14:paraId="4EAE6AB2" w14:textId="77777777">
      <w:r w:rsidRPr="00710E96">
        <w:t>Copiii, adolescenții și adulții cu ADHD pot fi creativi, energici, curioși și capabili să gândească rapid, însă pot întâmpina dificultăți în organizare, concentrare sau gestionarea emoțiilor. </w:t>
      </w:r>
    </w:p>
    <w:p w:rsidR="00710E96" w:rsidP="00710E96" w:rsidRDefault="00710E96" w14:paraId="46BB0E42" w14:textId="77777777"/>
    <w:p w:rsidRPr="00710E96" w:rsidR="00710E96" w:rsidP="00710E96" w:rsidRDefault="00710E96" w14:paraId="124B9B6D" w14:textId="77777777">
      <w:pPr>
        <w:rPr>
          <w:sz w:val="24"/>
          <w:szCs w:val="24"/>
        </w:rPr>
      </w:pPr>
      <w:r w:rsidRPr="00710E96">
        <w:rPr>
          <w:b/>
          <w:bCs/>
          <w:sz w:val="24"/>
          <w:szCs w:val="24"/>
        </w:rPr>
        <w:t>Cine poate prezenta un risc mai mare?</w:t>
      </w:r>
      <w:r w:rsidRPr="00710E96">
        <w:rPr>
          <w:sz w:val="24"/>
          <w:szCs w:val="24"/>
        </w:rPr>
        <w:t> </w:t>
      </w:r>
    </w:p>
    <w:p w:rsidRPr="00710E96" w:rsidR="00710E96" w:rsidP="00710E96" w:rsidRDefault="00710E96" w14:paraId="79966ACD" w14:textId="77777777">
      <w:r w:rsidRPr="00710E96">
        <w:t>ADHD poate apărea la orice persoană, însă anumite categorii pot avea o probabilitate mai mare de a manifesta caracteristici asociate acestei condiții: </w:t>
      </w:r>
    </w:p>
    <w:p w:rsidRPr="00710E96" w:rsidR="00710E96" w:rsidP="00710E96" w:rsidRDefault="00710E96" w14:paraId="1A8C423F" w14:textId="77777777">
      <w:pPr>
        <w:numPr>
          <w:ilvl w:val="0"/>
          <w:numId w:val="1"/>
        </w:numPr>
      </w:pPr>
      <w:r w:rsidRPr="00710E96">
        <w:t>persoane care au rude apropiate diagnosticate cu ADHD; </w:t>
      </w:r>
    </w:p>
    <w:p w:rsidRPr="00710E96" w:rsidR="00710E96" w:rsidP="00710E96" w:rsidRDefault="00710E96" w14:paraId="11D62376" w14:textId="77777777">
      <w:pPr>
        <w:numPr>
          <w:ilvl w:val="0"/>
          <w:numId w:val="2"/>
        </w:numPr>
      </w:pPr>
      <w:r w:rsidRPr="00710E96">
        <w:t>copii născuți prematur; </w:t>
      </w:r>
    </w:p>
    <w:p w:rsidRPr="00710E96" w:rsidR="00710E96" w:rsidP="00710E96" w:rsidRDefault="00710E96" w14:paraId="5F1B1EA9" w14:textId="77777777">
      <w:pPr>
        <w:numPr>
          <w:ilvl w:val="0"/>
          <w:numId w:val="3"/>
        </w:numPr>
      </w:pPr>
      <w:r w:rsidRPr="00710E96">
        <w:t>persoane cu autism sau alte tulburări de neurodezvoltare; </w:t>
      </w:r>
    </w:p>
    <w:p w:rsidRPr="00710E96" w:rsidR="00710E96" w:rsidP="00710E96" w:rsidRDefault="00710E96" w14:paraId="2E742D76" w14:textId="77777777">
      <w:pPr>
        <w:numPr>
          <w:ilvl w:val="0"/>
          <w:numId w:val="4"/>
        </w:numPr>
      </w:pPr>
      <w:r w:rsidRPr="00710E96">
        <w:t>persoane cu dificultăți de învățare; </w:t>
      </w:r>
    </w:p>
    <w:p w:rsidRPr="00710E96" w:rsidR="00710E96" w:rsidP="00710E96" w:rsidRDefault="00710E96" w14:paraId="3A00C935" w14:textId="77777777">
      <w:pPr>
        <w:numPr>
          <w:ilvl w:val="0"/>
          <w:numId w:val="5"/>
        </w:numPr>
      </w:pPr>
      <w:r w:rsidRPr="00710E96">
        <w:t>persoane care se confruntă cu anxietate sau depresie; </w:t>
      </w:r>
    </w:p>
    <w:p w:rsidRPr="00710E96" w:rsidR="00710E96" w:rsidP="00710E96" w:rsidRDefault="00710E96" w14:paraId="4B33B8B7" w14:textId="77777777">
      <w:pPr>
        <w:numPr>
          <w:ilvl w:val="0"/>
          <w:numId w:val="6"/>
        </w:numPr>
      </w:pPr>
      <w:r w:rsidRPr="00710E96">
        <w:t>persoane cu epilepsie; </w:t>
      </w:r>
    </w:p>
    <w:p w:rsidRPr="00710E96" w:rsidR="00710E96" w:rsidP="00710E96" w:rsidRDefault="00710E96" w14:paraId="1A4222BE" w14:textId="77777777">
      <w:pPr>
        <w:numPr>
          <w:ilvl w:val="0"/>
          <w:numId w:val="7"/>
        </w:numPr>
      </w:pPr>
      <w:r w:rsidRPr="00710E96">
        <w:t>copii care au trecut prin experiențe traumatice sau schimbări majore de mediu; </w:t>
      </w:r>
    </w:p>
    <w:p w:rsidRPr="00710E96" w:rsidR="00710E96" w:rsidP="00710E96" w:rsidRDefault="00710E96" w14:paraId="763B99D4" w14:textId="77777777">
      <w:pPr>
        <w:numPr>
          <w:ilvl w:val="0"/>
          <w:numId w:val="8"/>
        </w:numPr>
      </w:pPr>
      <w:r w:rsidRPr="00710E96">
        <w:t>persoane care au suferit leziuni neurologice. </w:t>
      </w:r>
    </w:p>
    <w:p w:rsidR="00710E96" w:rsidP="00710E96" w:rsidRDefault="00710E96" w14:paraId="67894CCE" w14:textId="77777777">
      <w:r w:rsidRPr="00710E96">
        <w:t>Prezența acestor factori nu înseamnă automat existența ADHD, însă poate justifica o evaluare de specialitate atunci când apar dificultăți persistente. </w:t>
      </w:r>
    </w:p>
    <w:p w:rsidR="00710E96" w:rsidP="00710E96" w:rsidRDefault="00710E96" w14:paraId="1319C394" w14:textId="77777777"/>
    <w:p w:rsidRPr="00710E96" w:rsidR="00710E96" w:rsidP="00710E96" w:rsidRDefault="00710E96" w14:paraId="229D4A4D" w14:textId="77777777">
      <w:pPr>
        <w:rPr>
          <w:sz w:val="24"/>
          <w:szCs w:val="24"/>
        </w:rPr>
      </w:pPr>
      <w:r w:rsidRPr="00710E96">
        <w:rPr>
          <w:b/>
          <w:bCs/>
          <w:sz w:val="24"/>
          <w:szCs w:val="24"/>
        </w:rPr>
        <w:t>ADHD la fete și femei</w:t>
      </w:r>
      <w:r w:rsidRPr="00710E96">
        <w:rPr>
          <w:sz w:val="24"/>
          <w:szCs w:val="24"/>
        </w:rPr>
        <w:t> </w:t>
      </w:r>
    </w:p>
    <w:p w:rsidRPr="00710E96" w:rsidR="00710E96" w:rsidP="00710E96" w:rsidRDefault="00710E96" w14:paraId="0738249F" w14:textId="77777777">
      <w:r w:rsidRPr="00710E96">
        <w:t>În multe cazuri, ADHD este identificat mai târziu la fete decât la băieți. </w:t>
      </w:r>
    </w:p>
    <w:p w:rsidRPr="00710E96" w:rsidR="00710E96" w:rsidP="00710E96" w:rsidRDefault="00710E96" w14:paraId="0FE1A787" w14:textId="77777777">
      <w:r w:rsidRPr="00710E96">
        <w:t>Fetele tind să manifeste mai puțină hiperactivitate vizibilă și mai multe dificultăți legate de atenție, organizare, anxietate sau suprasolicitare emoțională. Din acest motiv, simptomele pot trece neobservate ani de zile sau pot fi confundate cu alte dificultăți. </w:t>
      </w:r>
    </w:p>
    <w:p w:rsidRPr="00710E96" w:rsidR="00710E96" w:rsidP="00710E96" w:rsidRDefault="00710E96" w14:paraId="5EE4AF9F" w14:textId="77777777">
      <w:r w:rsidR="37817AC7">
        <w:rPr/>
        <w:t>Recunoașterea timpurie poate preveni probleme legate de stima de sine, performanța școlară și sănătatea emoțională. </w:t>
      </w:r>
    </w:p>
    <w:p w:rsidR="1866D957" w:rsidRDefault="1866D957" w14:paraId="354DB3DC" w14:textId="74EA0772"/>
    <w:p w:rsidR="1866D957" w:rsidRDefault="1866D957" w14:paraId="0D46F2C3" w14:textId="662F9B9C"/>
    <w:p w:rsidRPr="00710E96" w:rsidR="00710E96" w:rsidP="00710E96" w:rsidRDefault="00710E96" w14:paraId="06324ED7" w14:textId="4C4819E0">
      <w:r w:rsidRPr="00710E96">
        <w:drawing>
          <wp:inline distT="0" distB="0" distL="0" distR="0" wp14:anchorId="274F2724" wp14:editId="6CF34918">
            <wp:extent cx="22860" cy="22860"/>
            <wp:effectExtent l="0" t="0" r="0" b="0"/>
            <wp:docPr id="1089475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 cy="22860"/>
                    </a:xfrm>
                    <a:prstGeom prst="rect">
                      <a:avLst/>
                    </a:prstGeom>
                    <a:noFill/>
                    <a:ln>
                      <a:noFill/>
                    </a:ln>
                  </pic:spPr>
                </pic:pic>
              </a:graphicData>
            </a:graphic>
          </wp:inline>
        </w:drawing>
      </w:r>
      <w:r w:rsidRPr="00710E96">
        <w:t> </w:t>
      </w:r>
    </w:p>
    <w:p w:rsidRPr="00710E96" w:rsidR="00710E96" w:rsidP="1866D957" w:rsidRDefault="00710E96" w14:paraId="53074D0B" w14:textId="77777777">
      <w:pPr>
        <w:rPr>
          <w:b w:val="1"/>
          <w:bCs w:val="1"/>
          <w:sz w:val="24"/>
          <w:szCs w:val="24"/>
        </w:rPr>
      </w:pPr>
      <w:r w:rsidRPr="1866D957" w:rsidR="37817AC7">
        <w:rPr>
          <w:b w:val="1"/>
          <w:bCs w:val="1"/>
          <w:sz w:val="24"/>
          <w:szCs w:val="24"/>
        </w:rPr>
        <w:t>Când este recomandată o evaluare? </w:t>
      </w:r>
    </w:p>
    <w:p w:rsidRPr="00710E96" w:rsidR="00710E96" w:rsidP="00710E96" w:rsidRDefault="00710E96" w14:paraId="5A238F03" w14:textId="77777777">
      <w:r w:rsidRPr="00710E96">
        <w:t>Toți copiii sunt uneori agitați, distrași sau impulsivi. Aceste comportamente devin relevante atunci când sunt frecvente, persistă în timp și afectează funcționarea zilnică. </w:t>
      </w:r>
    </w:p>
    <w:p w:rsidRPr="00710E96" w:rsidR="00710E96" w:rsidP="00710E96" w:rsidRDefault="00710E96" w14:paraId="21325523" w14:textId="77777777">
      <w:r w:rsidRPr="00710E96">
        <w:lastRenderedPageBreak/>
        <w:t>Poate fi utilă o evaluare atunci când apar: </w:t>
      </w:r>
    </w:p>
    <w:p w:rsidRPr="00710E96" w:rsidR="00710E96" w:rsidP="00710E96" w:rsidRDefault="00710E96" w14:paraId="22F8DA89" w14:textId="77777777">
      <w:pPr>
        <w:numPr>
          <w:ilvl w:val="0"/>
          <w:numId w:val="9"/>
        </w:numPr>
      </w:pPr>
      <w:r w:rsidRPr="00710E96">
        <w:t>dificultăți constante de concentrare; </w:t>
      </w:r>
    </w:p>
    <w:p w:rsidRPr="00710E96" w:rsidR="00710E96" w:rsidP="00710E96" w:rsidRDefault="00710E96" w14:paraId="3FE483CD" w14:textId="77777777">
      <w:pPr>
        <w:numPr>
          <w:ilvl w:val="0"/>
          <w:numId w:val="10"/>
        </w:numPr>
      </w:pPr>
      <w:r w:rsidRPr="00710E96">
        <w:t>uitarea frecventă a sarcinilor; </w:t>
      </w:r>
    </w:p>
    <w:p w:rsidRPr="00710E96" w:rsidR="00710E96" w:rsidP="00710E96" w:rsidRDefault="00710E96" w14:paraId="3CA114A2" w14:textId="77777777">
      <w:pPr>
        <w:numPr>
          <w:ilvl w:val="0"/>
          <w:numId w:val="11"/>
        </w:numPr>
      </w:pPr>
      <w:r w:rsidRPr="00710E96">
        <w:t>nefinalizarea activităților începute; </w:t>
      </w:r>
    </w:p>
    <w:p w:rsidRPr="00710E96" w:rsidR="00710E96" w:rsidP="00710E96" w:rsidRDefault="00710E96" w14:paraId="0AA1576F" w14:textId="77777777">
      <w:pPr>
        <w:numPr>
          <w:ilvl w:val="0"/>
          <w:numId w:val="12"/>
        </w:numPr>
      </w:pPr>
      <w:r w:rsidRPr="00710E96">
        <w:t>impulsivitate accentuată; </w:t>
      </w:r>
    </w:p>
    <w:p w:rsidRPr="00710E96" w:rsidR="00710E96" w:rsidP="00710E96" w:rsidRDefault="00710E96" w14:paraId="6AA3E2DC" w14:textId="77777777">
      <w:pPr>
        <w:numPr>
          <w:ilvl w:val="0"/>
          <w:numId w:val="13"/>
        </w:numPr>
      </w:pPr>
      <w:r w:rsidRPr="00710E96">
        <w:t>nivel ridicat de agitație; </w:t>
      </w:r>
    </w:p>
    <w:p w:rsidRPr="00710E96" w:rsidR="00710E96" w:rsidP="00710E96" w:rsidRDefault="00710E96" w14:paraId="2C431233" w14:textId="77777777">
      <w:pPr>
        <w:numPr>
          <w:ilvl w:val="0"/>
          <w:numId w:val="14"/>
        </w:numPr>
      </w:pPr>
      <w:r w:rsidRPr="00710E96">
        <w:t>dificultăți școlare persistente; </w:t>
      </w:r>
    </w:p>
    <w:p w:rsidRPr="00710E96" w:rsidR="00710E96" w:rsidP="00710E96" w:rsidRDefault="00710E96" w14:paraId="241E072B" w14:textId="77777777">
      <w:pPr>
        <w:numPr>
          <w:ilvl w:val="0"/>
          <w:numId w:val="15"/>
        </w:numPr>
      </w:pPr>
      <w:r w:rsidRPr="00710E96">
        <w:t>probleme în relațiile cu colegii sau membrii familiei; </w:t>
      </w:r>
    </w:p>
    <w:p w:rsidRPr="00710E96" w:rsidR="00710E96" w:rsidP="00710E96" w:rsidRDefault="00710E96" w14:paraId="2F05D1E4" w14:textId="77777777">
      <w:pPr>
        <w:numPr>
          <w:ilvl w:val="0"/>
          <w:numId w:val="16"/>
        </w:numPr>
      </w:pPr>
      <w:r w:rsidRPr="00710E96">
        <w:t>dificultăți de organizare și planificare. </w:t>
      </w:r>
    </w:p>
    <w:p w:rsidRPr="00710E96" w:rsidR="00710E96" w:rsidP="00710E96" w:rsidRDefault="00710E96" w14:paraId="0D51E66E" w14:textId="77777777">
      <w:r w:rsidRPr="00710E96">
        <w:t>Este important de observat dacă aceste manifestări apar în mai multe contexte: acasă, la școală și în activitățile sociale. </w:t>
      </w:r>
    </w:p>
    <w:p w:rsidRPr="00710E96" w:rsidR="00710E96" w:rsidP="00710E96" w:rsidRDefault="00710E96" w14:paraId="24591FB5" w14:textId="77777777"/>
    <w:p w:rsidR="00165916" w:rsidRDefault="00165916" w14:paraId="3FEF6E49" w14:textId="77777777"/>
    <w:sectPr w:rsidR="00165916">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02CA"/>
    <w:multiLevelType w:val="multilevel"/>
    <w:tmpl w:val="55865C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263F6A5D"/>
    <w:multiLevelType w:val="multilevel"/>
    <w:tmpl w:val="61F09E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269678EF"/>
    <w:multiLevelType w:val="multilevel"/>
    <w:tmpl w:val="91E6C0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E34433B"/>
    <w:multiLevelType w:val="multilevel"/>
    <w:tmpl w:val="D8F819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30752E1C"/>
    <w:multiLevelType w:val="multilevel"/>
    <w:tmpl w:val="464659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3F9902FC"/>
    <w:multiLevelType w:val="multilevel"/>
    <w:tmpl w:val="554CA4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50EF3902"/>
    <w:multiLevelType w:val="multilevel"/>
    <w:tmpl w:val="8C9473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5AFA75E9"/>
    <w:multiLevelType w:val="multilevel"/>
    <w:tmpl w:val="859AD7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5EFB015B"/>
    <w:multiLevelType w:val="multilevel"/>
    <w:tmpl w:val="3E9C5F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6527665E"/>
    <w:multiLevelType w:val="multilevel"/>
    <w:tmpl w:val="C16287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668A797E"/>
    <w:multiLevelType w:val="multilevel"/>
    <w:tmpl w:val="7100AD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68F31082"/>
    <w:multiLevelType w:val="multilevel"/>
    <w:tmpl w:val="0BD448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69407CB6"/>
    <w:multiLevelType w:val="multilevel"/>
    <w:tmpl w:val="25F805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6AA926FD"/>
    <w:multiLevelType w:val="multilevel"/>
    <w:tmpl w:val="BDA04C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75463DCD"/>
    <w:multiLevelType w:val="multilevel"/>
    <w:tmpl w:val="48D800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7A640E1E"/>
    <w:multiLevelType w:val="multilevel"/>
    <w:tmpl w:val="734229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200782866">
    <w:abstractNumId w:val="9"/>
  </w:num>
  <w:num w:numId="2" w16cid:durableId="1906066013">
    <w:abstractNumId w:val="6"/>
  </w:num>
  <w:num w:numId="3" w16cid:durableId="1609659602">
    <w:abstractNumId w:val="2"/>
  </w:num>
  <w:num w:numId="4" w16cid:durableId="1051684651">
    <w:abstractNumId w:val="11"/>
  </w:num>
  <w:num w:numId="5" w16cid:durableId="76446748">
    <w:abstractNumId w:val="1"/>
  </w:num>
  <w:num w:numId="6" w16cid:durableId="443620752">
    <w:abstractNumId w:val="0"/>
  </w:num>
  <w:num w:numId="7" w16cid:durableId="1550260860">
    <w:abstractNumId w:val="7"/>
  </w:num>
  <w:num w:numId="8" w16cid:durableId="1541867355">
    <w:abstractNumId w:val="5"/>
  </w:num>
  <w:num w:numId="9" w16cid:durableId="64574645">
    <w:abstractNumId w:val="13"/>
  </w:num>
  <w:num w:numId="10" w16cid:durableId="988749211">
    <w:abstractNumId w:val="15"/>
  </w:num>
  <w:num w:numId="11" w16cid:durableId="1855265759">
    <w:abstractNumId w:val="14"/>
  </w:num>
  <w:num w:numId="12" w16cid:durableId="2073036367">
    <w:abstractNumId w:val="12"/>
  </w:num>
  <w:num w:numId="13" w16cid:durableId="1158035578">
    <w:abstractNumId w:val="3"/>
  </w:num>
  <w:num w:numId="14" w16cid:durableId="1942180161">
    <w:abstractNumId w:val="8"/>
  </w:num>
  <w:num w:numId="15" w16cid:durableId="1958872001">
    <w:abstractNumId w:val="10"/>
  </w:num>
  <w:num w:numId="16" w16cid:durableId="634726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E96"/>
    <w:rsid w:val="00165916"/>
    <w:rsid w:val="002A0BD5"/>
    <w:rsid w:val="00710E96"/>
    <w:rsid w:val="00D32C55"/>
    <w:rsid w:val="00D83CA8"/>
    <w:rsid w:val="00E43FF6"/>
    <w:rsid w:val="1866D957"/>
    <w:rsid w:val="37817AC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59E3E"/>
  <w15:chartTrackingRefBased/>
  <w15:docId w15:val="{B59E443C-9F0C-4604-82FE-EA61DFDD0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10E96"/>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10E96"/>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10E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0E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0E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0E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0E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0E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0E9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10E96"/>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710E96"/>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710E96"/>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710E96"/>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710E96"/>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710E9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10E9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10E9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10E96"/>
    <w:rPr>
      <w:rFonts w:eastAsiaTheme="majorEastAsia" w:cstheme="majorBidi"/>
      <w:color w:val="272727" w:themeColor="text1" w:themeTint="D8"/>
    </w:rPr>
  </w:style>
  <w:style w:type="paragraph" w:styleId="Title">
    <w:name w:val="Title"/>
    <w:basedOn w:val="Normal"/>
    <w:next w:val="Normal"/>
    <w:link w:val="TitleChar"/>
    <w:uiPriority w:val="10"/>
    <w:qFormat/>
    <w:rsid w:val="00710E9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10E9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10E9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10E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0E96"/>
    <w:pPr>
      <w:spacing w:before="160"/>
      <w:jc w:val="center"/>
    </w:pPr>
    <w:rPr>
      <w:i/>
      <w:iCs/>
      <w:color w:val="404040" w:themeColor="text1" w:themeTint="BF"/>
    </w:rPr>
  </w:style>
  <w:style w:type="character" w:styleId="QuoteChar" w:customStyle="1">
    <w:name w:val="Quote Char"/>
    <w:basedOn w:val="DefaultParagraphFont"/>
    <w:link w:val="Quote"/>
    <w:uiPriority w:val="29"/>
    <w:rsid w:val="00710E96"/>
    <w:rPr>
      <w:i/>
      <w:iCs/>
      <w:color w:val="404040" w:themeColor="text1" w:themeTint="BF"/>
    </w:rPr>
  </w:style>
  <w:style w:type="paragraph" w:styleId="ListParagraph">
    <w:name w:val="List Paragraph"/>
    <w:basedOn w:val="Normal"/>
    <w:uiPriority w:val="34"/>
    <w:qFormat/>
    <w:rsid w:val="00710E96"/>
    <w:pPr>
      <w:ind w:left="720"/>
      <w:contextualSpacing/>
    </w:pPr>
  </w:style>
  <w:style w:type="character" w:styleId="IntenseEmphasis">
    <w:name w:val="Intense Emphasis"/>
    <w:basedOn w:val="DefaultParagraphFont"/>
    <w:uiPriority w:val="21"/>
    <w:qFormat/>
    <w:rsid w:val="00710E96"/>
    <w:rPr>
      <w:i/>
      <w:iCs/>
      <w:color w:val="2F5496" w:themeColor="accent1" w:themeShade="BF"/>
    </w:rPr>
  </w:style>
  <w:style w:type="paragraph" w:styleId="IntenseQuote">
    <w:name w:val="Intense Quote"/>
    <w:basedOn w:val="Normal"/>
    <w:next w:val="Normal"/>
    <w:link w:val="IntenseQuoteChar"/>
    <w:uiPriority w:val="30"/>
    <w:qFormat/>
    <w:rsid w:val="00710E96"/>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710E96"/>
    <w:rPr>
      <w:i/>
      <w:iCs/>
      <w:color w:val="2F5496" w:themeColor="accent1" w:themeShade="BF"/>
    </w:rPr>
  </w:style>
  <w:style w:type="character" w:styleId="IntenseReference">
    <w:name w:val="Intense Reference"/>
    <w:basedOn w:val="DefaultParagraphFont"/>
    <w:uiPriority w:val="32"/>
    <w:qFormat/>
    <w:rsid w:val="00710E9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png"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Otilia Iancu - MLH</dc:creator>
  <keywords/>
  <dc:description/>
  <lastModifiedBy>OTILIA IANCU</lastModifiedBy>
  <revision>2</revision>
  <dcterms:created xsi:type="dcterms:W3CDTF">2026-07-26T09:14:00.0000000Z</dcterms:created>
  <dcterms:modified xsi:type="dcterms:W3CDTF">2026-07-26T09:21:15.4604048Z</dcterms:modified>
</coreProperties>
</file>